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Registro de acciones correctivas</w:t>
      </w:r>
    </w:p>
    <w:p>
      <w:pPr>
        <w:spacing w:before="100" w:after="60"/>
      </w:pPr>
      <w:r>
        <w:rPr>
          <w:b/>
          <w:sz w:val="19"/>
        </w:rPr>
        <w:t xml:space="preserve">Sitio o área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Mes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Revisado por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de revisión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Acciones correctivas</w:t>
      </w:r>
    </w:p>
    <w:p>
      <w:pPr>
        <w:spacing w:before="0" w:after="60"/>
      </w:pPr>
      <w:r>
        <w:rPr>
          <w:i/>
          <w:sz w:val="19"/>
        </w:rPr>
        <w:t xml:space="preserve">Gravedad: A alta, M media, B baja. A un hallazgo de gravedad alta se le asigna responsable y fecha el mismo día.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N.º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Fecha del hallazgo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Qué se encontró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Gravedad (A M B)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Acción por tomar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Responsable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Fecha límite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Fecha de cierre</w:t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