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Lockout tagout log</w:t>
      </w:r>
    </w:p>
    <w:p>
      <w:pPr>
        <w:spacing w:before="100" w:after="60"/>
      </w:pPr>
      <w:r>
        <w:rPr>
          <w:b/>
          <w:sz w:val="19"/>
        </w:rPr>
        <w:t xml:space="preserve">Site or area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Month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Procedure number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Lockout log</w:t>
      </w:r>
    </w:p>
    <w:p>
      <w:pPr>
        <w:spacing w:before="0" w:after="60"/>
      </w:pPr>
      <w:r>
        <w:rPr>
          <w:i/>
          <w:sz w:val="19"/>
        </w:rPr>
        <w:t xml:space="preserve">Only authorized, trained people apply and remove locks, per the site's procedure. The current OSHA 1910.147 standard applies. Check it and your own procedure.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Machine or ID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Energy sources isolated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Locked by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Lock or tag no.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 on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 off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Removed by</w:t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